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left="-315" w:leftChars="-150" w:right="-315" w:rightChars="-150"/>
        <w:jc w:val="center"/>
        <w:rPr>
          <w:rFonts w:ascii="公文小标宋简" w:hAnsi="Times New Roman" w:eastAsia="公文小标宋简"/>
          <w:b/>
          <w:color w:val="FF0000"/>
          <w:spacing w:val="-40"/>
          <w:sz w:val="64"/>
          <w:szCs w:val="64"/>
        </w:rPr>
      </w:pPr>
      <w:r>
        <w:rPr>
          <w:rFonts w:hint="eastAsia" w:ascii="公文小标宋简" w:hAnsi="Times New Roman" w:eastAsia="公文小标宋简"/>
          <w:b/>
          <w:color w:val="FF0000"/>
          <w:spacing w:val="-40"/>
          <w:sz w:val="64"/>
          <w:szCs w:val="64"/>
        </w:rPr>
        <w:t>电子科技大学中山学院教务处</w:t>
      </w:r>
      <w:r>
        <w:rPr>
          <w:rFonts w:ascii="公文小标宋简" w:hAnsi="Times New Roman" w:eastAsia="公文小标宋简"/>
          <w:b/>
          <w:color w:val="FF0000"/>
          <w:spacing w:val="-40"/>
          <w:sz w:val="64"/>
          <w:szCs w:val="64"/>
        </w:rPr>
        <w:t xml:space="preserve"> </w:t>
      </w:r>
    </w:p>
    <w:p>
      <w:pPr>
        <w:rPr>
          <w:rFonts w:ascii="公文小标宋简" w:hAnsi="Times New Roman" w:eastAsia="公文小标宋简"/>
          <w:b/>
          <w:color w:val="FF0000"/>
          <w:spacing w:val="1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color w:val="FF00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213995</wp:posOffset>
                </wp:positionV>
                <wp:extent cx="6310630" cy="635"/>
                <wp:effectExtent l="0" t="13970" r="13970" b="14605"/>
                <wp:wrapNone/>
                <wp:docPr id="1" name="Straight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3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26" o:spid="_x0000_s1026" o:spt="32" type="#_x0000_t32" style="position:absolute;left:0pt;margin-left:-35.25pt;margin-top:16.85pt;height:0.05pt;width:496.9pt;z-index:251658240;mso-width-relative:page;mso-height-relative:page;" filled="f" stroked="t" coordsize="21600,21600" o:gfxdata="UEsDBAoAAAAAAIdO4kAAAAAAAAAAAAAAAAAEAAAAZHJzL1BLAwQUAAAACACHTuJA3xMd5tgAAAAJ&#10;AQAADwAAAGRycy9kb3ducmV2LnhtbE2PPU/DMBCGdyT+g3VIbK3tRv0gjdMBiQkx0ETq6sYmSWuf&#10;I9tJA78ed4Lx7h6997zFYbaGTNqH3qEAvmRANDZO9dgKqKu3xQ5IiBKVNA61gG8d4FA+PhQyV+6G&#10;n3o6xpakEAy5FNDFOOSUhqbTVoalGzSm25fzVsY0+pYqL28p3Bq6YmxDrewxfejkoF873VyPoxVw&#10;+fCn6l0Zvr7yatrMVc3Hn1qI5yfO9kCinuMfDHf9pA5lcjq7EVUgRsBiy9YJFZBlWyAJeFllGZDz&#10;fbEDWhb0f4PyF1BLAwQUAAAACACHTuJAI3BsD8sBAAChAwAADgAAAGRycy9lMm9Eb2MueG1srVPL&#10;jtswDLwX6D8Iuje2EyRdGHH2kGx6KdoA2/0ARpJtAXpBVOPk70spabaPS1GsDzQlckbkiFo/nq1h&#10;JxVRe9fxZlZzppzwUruh4y/f9h8eOMMEToLxTnX8opA/bt6/W0+hVXM/eiNVZETisJ1Cx8eUQltV&#10;KEZlAWc+KEfB3kcLiZZxqGSEiditqeZ1vaomH2WIXihE2t1dg3xT+PteifS171ElZjpOtaViY7HH&#10;bKvNGtohQhi1uJUB/1GFBe3o0DvVDhKw71H/RWW1iB59n2bC28r3vRaq9EDdNPUf3TyPEFTphcTB&#10;cJcJ345WfDkdItOS7o4zB5au6DlF0MOY2NY7RwL6yJp6vspSTQFbQmzdId5WGA4x933uo81/6oid&#10;i7yXu7zqnJigzdWiqVcLugVBsdVimRmrV2iImD4pb1l2Oo63Mu5VNEVgOH3GdAX+BORzjWNTx+cP&#10;y49L4geapN5AItcG6g3dUMDojZZ7bUyGYByOWxPZCWg29vuavltFv6XlU3aA4zWvhHIatKMC+eQk&#10;S5dAqjkab55rsEpyZhS9huyVzATa/EsmiWEcaZJlvgqbvaOXl6J32ac5KKrdZjYP2q/rgn59WZ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xMd5tgAAAAJAQAADwAAAAAAAAABACAAAAAiAAAAZHJz&#10;L2Rvd25yZXYueG1sUEsBAhQAFAAAAAgAh07iQCNwbA/LAQAAoQMAAA4AAAAAAAAAAQAgAAAAJw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</w:t>
      </w:r>
    </w:p>
    <w:p>
      <w:pPr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关于开展电子科技大学中山学院第</w:t>
      </w:r>
      <w:r>
        <w:rPr>
          <w:rFonts w:hint="eastAsia"/>
          <w:sz w:val="44"/>
          <w:szCs w:val="44"/>
          <w:lang w:eastAsia="zh-CN"/>
        </w:rPr>
        <w:t>八</w:t>
      </w:r>
      <w:r>
        <w:rPr>
          <w:rFonts w:hint="eastAsia"/>
          <w:sz w:val="44"/>
          <w:szCs w:val="44"/>
        </w:rPr>
        <w:t>届优秀教师评选活动的通知</w:t>
      </w:r>
    </w:p>
    <w:p>
      <w:pPr>
        <w:spacing w:beforeLines="50" w:afterLines="50"/>
        <w:jc w:val="both"/>
        <w:rPr>
          <w:rStyle w:val="14"/>
          <w:rFonts w:ascii="仿宋_GB2312" w:hAnsi="宋体" w:eastAsia="仿宋_GB2312"/>
          <w:color w:val="000000"/>
          <w:sz w:val="44"/>
          <w:szCs w:val="44"/>
        </w:rPr>
      </w:pPr>
    </w:p>
    <w:p>
      <w:pPr>
        <w:pStyle w:val="2"/>
        <w:spacing w:line="240" w:lineRule="auto"/>
        <w:jc w:val="left"/>
        <w:rPr>
          <w:rFonts w:ascii="仿宋_GB2312" w:hAnsi="仿宋_GB2312" w:eastAsia="仿宋_GB2312" w:cs="仿宋_GB2312"/>
          <w:b w:val="0"/>
          <w:vanish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vanish/>
          <w:kern w:val="2"/>
          <w:sz w:val="32"/>
          <w:szCs w:val="32"/>
        </w:rPr>
        <w:t>校内各单位：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各教学单位：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根据学校人事处的统一部署，</w:t>
      </w:r>
      <w:r>
        <w:rPr>
          <w:rFonts w:hint="eastAsia" w:ascii="仿宋_GB2312" w:hAnsi="仿宋_GB2312" w:eastAsia="仿宋_GB2312" w:cs="仿宋_GB2312"/>
          <w:sz w:val="30"/>
          <w:szCs w:val="30"/>
        </w:rPr>
        <w:t>为了激发教师的责任心和事业心，鼓励教师在工作中做出优异成绩，树立先进，相互学习，深化教育教学改革，提高人才培养质量，促进学院内涵式发展，决定开展电子科技大学中山学院第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届“优秀教师”评选活动。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</w:rPr>
        <w:t>将有关事项通知如下：</w:t>
      </w:r>
    </w:p>
    <w:p>
      <w:pPr>
        <w:numPr>
          <w:ilvl w:val="0"/>
          <w:numId w:val="1"/>
        </w:num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推荐教师的基本条件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0"/>
          <w:szCs w:val="30"/>
        </w:rPr>
        <w:t>已获第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届优秀教师称号的教师，不参加本次评选活动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具有良好的师德修养，关心爱护学生，坚持教书育人。</w:t>
      </w:r>
    </w:p>
    <w:p>
      <w:pPr>
        <w:numPr>
          <w:ilvl w:val="0"/>
          <w:numId w:val="2"/>
        </w:numPr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近两年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所授课程学生评教总平均分须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高于各教学单位平均分；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大学英语教师的评教总平均分高于大学外语教学部总平均分，可予推荐。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必须积极参与教学和科研并取得一定成绩，或在教学、科研或者社会工作中取得突出成绩，获得重大荣誉、对提升学院办学声誉产生重大影响。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、请各单位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参考评选注意事项（附件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组织完成候选人推荐工作（推荐人数不超过本单位教师总数的15%），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教务处组织教学质量评价小组审核</w:t>
      </w:r>
      <w:r>
        <w:rPr>
          <w:rFonts w:hint="eastAsia" w:ascii="仿宋_GB2312" w:hAnsi="仿宋_GB2312" w:eastAsia="仿宋_GB2312" w:cs="仿宋_GB2312"/>
          <w:sz w:val="30"/>
          <w:szCs w:val="30"/>
        </w:rPr>
        <w:t>并确定入围名单。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、材料整理说明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1、个人材料有效期间：201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年6月至201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年5月；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2、请参照“优秀教师评分细则”（附件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），并按照“参评材料明细及计分表”（附件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）的说明，按项目顺序提供材料。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、材料报送时间：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请于201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日前报送教务处。附件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及相关证明材料请于201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日前报送教务处。逾期不予受理。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教务处联系人：符宁，电话88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881206</w:t>
      </w:r>
      <w:r>
        <w:rPr>
          <w:rFonts w:hint="eastAsia" w:ascii="仿宋_GB2312" w:hAnsi="仿宋_GB2312" w:eastAsia="仿宋_GB2312" w:cs="仿宋_GB2312"/>
          <w:sz w:val="30"/>
          <w:szCs w:val="30"/>
        </w:rPr>
        <w:t>（内线850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电子科技大学中山学院优秀教师评选办法（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2015年6月11日教学指导委员会议讨论修订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年（第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届）优秀教师评选注意事项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年优秀教师评分细则</w:t>
      </w:r>
    </w:p>
    <w:p>
      <w:pPr>
        <w:ind w:firstLine="1570" w:firstLineChars="49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年优秀教师推荐人选汇总表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5</w:t>
      </w:r>
      <w:r>
        <w:rPr>
          <w:rFonts w:hint="eastAsia" w:ascii="仿宋_GB2312" w:hAnsi="仿宋_GB2312" w:eastAsia="仿宋_GB2312" w:cs="仿宋_GB2312"/>
          <w:sz w:val="30"/>
          <w:szCs w:val="30"/>
        </w:rPr>
        <w:t>.教师参评材料明细及计分表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（填报参考）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教务处         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rPr>
          <w:rFonts w:hint="eastAsia" w:hAnsi="仿宋_GB231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附件1  </w:t>
      </w:r>
      <w:r>
        <w:rPr>
          <w:rFonts w:hint="eastAsia" w:hAnsi="仿宋_GB2312"/>
          <w:szCs w:val="32"/>
        </w:rPr>
        <w:t xml:space="preserve">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416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电子科技大学中山学院优秀教师评选办法</w:t>
      </w:r>
    </w:p>
    <w:p>
      <w:pPr>
        <w:jc w:val="center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（2015年6月11日学校教学指导委员会议讨论修订）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根据学校《</w:t>
      </w:r>
      <w:r>
        <w:rPr>
          <w:rFonts w:hint="eastAsia"/>
          <w:sz w:val="28"/>
          <w:szCs w:val="28"/>
        </w:rPr>
        <w:t>关于印发《电子科技大学中山学院“优秀工作者奖”评选方案》</w:t>
      </w:r>
      <w:r>
        <w:rPr>
          <w:rFonts w:hint="eastAsia"/>
          <w:sz w:val="28"/>
          <w:szCs w:val="28"/>
          <w:lang w:val="en-US" w:eastAsia="zh-CN"/>
        </w:rPr>
        <w:t>（学院通知〔2015〕16号）的文件，特制定</w:t>
      </w:r>
      <w:r>
        <w:rPr>
          <w:rFonts w:hint="eastAsia"/>
          <w:sz w:val="28"/>
          <w:szCs w:val="28"/>
        </w:rPr>
        <w:t>本办法。</w:t>
      </w:r>
    </w:p>
    <w:p>
      <w:pPr>
        <w:numPr>
          <w:ilvl w:val="0"/>
          <w:numId w:val="3"/>
        </w:numPr>
        <w:ind w:firstLine="632" w:firstLineChars="200"/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sz w:val="28"/>
          <w:szCs w:val="28"/>
          <w:shd w:val="clear" w:color="auto" w:fill="auto"/>
          <w:lang w:eastAsia="zh-CN"/>
        </w:rPr>
        <w:t>评审小组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组长：徐建华；成员：学校教学指导委员会全体成员</w:t>
      </w:r>
    </w:p>
    <w:p>
      <w:pPr>
        <w:ind w:firstLine="632" w:firstLineChars="200"/>
        <w:rPr>
          <w:rFonts w:hint="eastAsia"/>
          <w:b/>
          <w:bCs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bCs/>
          <w:sz w:val="28"/>
          <w:szCs w:val="28"/>
          <w:highlight w:val="none"/>
          <w:shd w:val="clear" w:color="auto" w:fill="auto"/>
          <w:lang w:eastAsia="zh-CN"/>
        </w:rPr>
        <w:t>二</w:t>
      </w:r>
      <w:r>
        <w:rPr>
          <w:rFonts w:hint="eastAsia"/>
          <w:b/>
          <w:bCs/>
          <w:sz w:val="28"/>
          <w:szCs w:val="28"/>
          <w:highlight w:val="none"/>
          <w:shd w:val="clear" w:color="auto" w:fill="auto"/>
        </w:rPr>
        <w:t>、评选办法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</w:rPr>
        <w:t>“优秀教师”每年评选一次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，评选人数</w:t>
      </w: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30名</w:t>
      </w:r>
      <w:r>
        <w:rPr>
          <w:rFonts w:hint="eastAsia"/>
          <w:sz w:val="28"/>
          <w:szCs w:val="28"/>
          <w:highlight w:val="none"/>
          <w:shd w:val="clear" w:color="auto" w:fill="auto"/>
        </w:rPr>
        <w:t>。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设置优秀奖和特别奖，优秀奖奖励</w:t>
      </w: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0.5万元/名，特别奖奖励1万元/名。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具体评选组织工作以当年通知为准。</w:t>
      </w:r>
    </w:p>
    <w:p>
      <w:pPr>
        <w:ind w:firstLine="63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</w:t>
      </w:r>
      <w:r>
        <w:rPr>
          <w:rFonts w:hint="eastAsia"/>
          <w:b/>
          <w:bCs/>
          <w:sz w:val="28"/>
          <w:szCs w:val="28"/>
        </w:rPr>
        <w:t xml:space="preserve">、评选范围 </w:t>
      </w:r>
    </w:p>
    <w:p>
      <w:pPr>
        <w:ind w:firstLine="63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在我院工作两年及以上的在编在岗一线教师。教师个人每两年可获评一次。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sz w:val="28"/>
          <w:szCs w:val="28"/>
        </w:rPr>
        <w:t>评选条件</w:t>
      </w:r>
    </w:p>
    <w:p>
      <w:pPr>
        <w:numPr>
          <w:ilvl w:val="0"/>
          <w:numId w:val="0"/>
        </w:numPr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（一）</w:t>
      </w:r>
      <w:r>
        <w:rPr>
          <w:rFonts w:hint="eastAsia"/>
          <w:b/>
          <w:bCs/>
          <w:sz w:val="28"/>
          <w:szCs w:val="28"/>
          <w:lang w:eastAsia="zh-CN"/>
        </w:rPr>
        <w:t>优秀奖条件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有良好的师德修养，关心爱护学生，坚持教书育人。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教学效果良好，教学评价优良。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积极参加教学研究与改革并取得一定成绩，具备以下条件之一：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主持或主要参与1项院级及以上教研教改项目；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主编或参编了出版通用教材；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以第一作者发表1篇及以上教研教改论文；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在院级及以上教学类评奖中获奖；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获得院级及以上与教学相关的荣誉。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积极参加科学研究并取得一定成绩，具备以下条件之一：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主持或主要参与了科研项目；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以第一作者发表了</w:t>
      </w:r>
      <w:r>
        <w:rPr>
          <w:rFonts w:hint="eastAsia"/>
          <w:sz w:val="28"/>
          <w:szCs w:val="28"/>
          <w:lang w:eastAsia="zh-CN"/>
        </w:rPr>
        <w:t>核心期刊或者国际会议交流</w:t>
      </w:r>
      <w:r>
        <w:rPr>
          <w:rFonts w:hint="eastAsia"/>
          <w:sz w:val="28"/>
          <w:szCs w:val="28"/>
        </w:rPr>
        <w:t>科研论文；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科研经费到账业绩突出；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取得发明专利或科研成果鉴定；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获得院级及以上各类科研奖励。</w:t>
      </w:r>
    </w:p>
    <w:p>
      <w:pPr>
        <w:numPr>
          <w:ilvl w:val="0"/>
          <w:numId w:val="4"/>
        </w:num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在教学、科研或社会工作中取得突出成绩，获得重大荣誉、对提升学院办学声誉产生重大影响者可特别考虑。</w:t>
      </w:r>
    </w:p>
    <w:p>
      <w:pPr>
        <w:numPr>
          <w:ilvl w:val="0"/>
          <w:numId w:val="4"/>
        </w:num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工作业绩自申报之日止，前溯两年内有效。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（二）特别奖条件</w:t>
      </w:r>
    </w:p>
    <w:p>
      <w:pPr>
        <w:ind w:firstLine="632" w:firstLineChars="200"/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1、在优秀奖范围内遴选；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>2、具备以下2条（含）以上，可以参与特别奖评选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（1）获得省级以上教学成果奖或科技奖励，个人或成果完成人排名前3；</w:t>
      </w:r>
    </w:p>
    <w:p>
      <w:p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（2）课堂教学效果特别好，成效特别突出，教学评价总评分居参评者前5位；</w:t>
      </w:r>
    </w:p>
    <w:p>
      <w:p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（3）在应用型人才培养中发挥骨干作用，不断探索教改，并取得重要成效，如实验室项目开发，推动校企合作育人，受益面广，实效好；</w:t>
      </w:r>
    </w:p>
    <w:p>
      <w:p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（4）参加省级以上教学竞赛或技能竞赛获三等奖以上奖项；</w:t>
      </w:r>
    </w:p>
    <w:p>
      <w:p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（5）指导学生参加权威部门组织的学科竞赛获省级一等奖（含）以上、国家级二等奖（含）以上奖励；</w:t>
      </w:r>
    </w:p>
    <w:p>
      <w:pPr>
        <w:rPr>
          <w:rFonts w:hint="eastAsia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 （6）主持或主要参与（排名前3）省级及以上教研、科研项目。</w:t>
      </w:r>
    </w:p>
    <w:p>
      <w:pP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 xml:space="preserve"> （7）教研论文以第一作者在高等教育核心期刊上发表；</w:t>
      </w:r>
    </w:p>
    <w:p>
      <w:pP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 xml:space="preserve">   （8）科研论文以第一作者在SCI、SSCI、EI源期刊上发表，会议收录除外。</w:t>
      </w:r>
    </w:p>
    <w:p>
      <w:pPr>
        <w:ind w:firstLine="63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、评选程序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优秀教师评选坚持“民主、公开、公平、择优”的原则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具体</w:t>
      </w:r>
      <w:r>
        <w:rPr>
          <w:rFonts w:hint="eastAsia"/>
          <w:sz w:val="28"/>
          <w:szCs w:val="28"/>
          <w:lang w:eastAsia="zh-CN"/>
        </w:rPr>
        <w:t>评选</w:t>
      </w:r>
      <w:r>
        <w:rPr>
          <w:rFonts w:hint="eastAsia"/>
          <w:sz w:val="28"/>
          <w:szCs w:val="28"/>
        </w:rPr>
        <w:t>步骤如下：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</w:rPr>
        <w:t>（一）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推荐。</w:t>
      </w:r>
      <w:r>
        <w:rPr>
          <w:rFonts w:hint="eastAsia"/>
          <w:sz w:val="28"/>
          <w:szCs w:val="28"/>
          <w:highlight w:val="none"/>
          <w:shd w:val="clear" w:color="auto" w:fill="auto"/>
        </w:rPr>
        <w:t>各教学单位分别成立评选小组，根据评选条件择优推荐。推荐优秀教师人数不超过本单位教师总数的15%。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</w:rPr>
        <w:t>（二）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材料。</w:t>
      </w:r>
      <w:r>
        <w:rPr>
          <w:rFonts w:hint="eastAsia"/>
          <w:sz w:val="28"/>
          <w:szCs w:val="28"/>
          <w:highlight w:val="none"/>
          <w:shd w:val="clear" w:color="auto" w:fill="auto"/>
        </w:rPr>
        <w:t>各教学单位将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教师参评</w:t>
      </w:r>
      <w:r>
        <w:rPr>
          <w:rFonts w:hint="eastAsia"/>
          <w:sz w:val="28"/>
          <w:szCs w:val="28"/>
          <w:highlight w:val="none"/>
          <w:shd w:val="clear" w:color="auto" w:fill="auto"/>
        </w:rPr>
        <w:t>材料报教务处。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</w:rPr>
        <w:t>（三）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评审。由评审小组对各单位推荐人选进行评审，评选出校优秀教师名单。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（四）审定。由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人事处向院长办公会提交评选名单，院长办公会审定。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（五）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公示。院长办公会通过后公示</w:t>
      </w:r>
      <w:r>
        <w:rPr>
          <w:rFonts w:hint="eastAsia"/>
          <w:sz w:val="28"/>
          <w:szCs w:val="28"/>
          <w:highlight w:val="none"/>
          <w:shd w:val="clear" w:color="auto" w:fill="auto"/>
          <w:lang w:val="en-US"/>
        </w:rPr>
        <w:t>3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天。</w:t>
      </w:r>
    </w:p>
    <w:p>
      <w:pPr>
        <w:ind w:firstLine="632" w:firstLineChars="200"/>
        <w:rPr>
          <w:rFonts w:hint="eastAsia"/>
          <w:sz w:val="28"/>
          <w:szCs w:val="28"/>
          <w:highlight w:val="none"/>
          <w:shd w:val="clear" w:color="auto" w:fill="auto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（六）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表彰。学校于</w:t>
      </w:r>
      <w:r>
        <w:rPr>
          <w:rFonts w:hint="eastAsia"/>
          <w:sz w:val="28"/>
          <w:szCs w:val="28"/>
          <w:highlight w:val="none"/>
          <w:shd w:val="clear" w:color="auto" w:fill="auto"/>
          <w:lang w:val="en-US"/>
        </w:rPr>
        <w:t>9</w:t>
      </w:r>
      <w:r>
        <w:rPr>
          <w:rFonts w:hint="eastAsia"/>
          <w:sz w:val="28"/>
          <w:szCs w:val="28"/>
          <w:highlight w:val="none"/>
          <w:shd w:val="clear" w:color="auto" w:fill="auto"/>
          <w:lang w:eastAsia="zh-CN"/>
        </w:rPr>
        <w:t>月份召开表彰大会，对获奖者进行表彰和奖励。</w:t>
      </w:r>
    </w:p>
    <w:p>
      <w:pPr>
        <w:ind w:firstLine="63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、其他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（一）学院从</w:t>
      </w:r>
      <w:r>
        <w:rPr>
          <w:rFonts w:hint="eastAsia"/>
          <w:sz w:val="28"/>
          <w:szCs w:val="28"/>
          <w:lang w:eastAsia="zh-CN"/>
        </w:rPr>
        <w:t>优秀教师</w:t>
      </w:r>
      <w:r>
        <w:rPr>
          <w:rFonts w:hint="eastAsia"/>
          <w:sz w:val="28"/>
          <w:szCs w:val="28"/>
        </w:rPr>
        <w:t>获得者中择优推荐省级“教学名师”评选。省级教学名师评选条件根据省厅文件执行。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文件中</w:t>
      </w:r>
      <w:r>
        <w:rPr>
          <w:rFonts w:hint="eastAsia"/>
          <w:sz w:val="28"/>
          <w:szCs w:val="28"/>
          <w:lang w:eastAsia="zh-CN"/>
        </w:rPr>
        <w:t>优秀奖条件</w:t>
      </w:r>
      <w:r>
        <w:rPr>
          <w:rFonts w:hint="eastAsia"/>
          <w:sz w:val="28"/>
          <w:szCs w:val="28"/>
        </w:rPr>
        <w:t>“主要参与”指：院、市级项目前三位、省级项目前五位，国家级项目前七位。</w:t>
      </w:r>
    </w:p>
    <w:p>
      <w:pPr>
        <w:adjustRightInd w:val="0"/>
        <w:snapToGrid w:val="0"/>
        <w:spacing w:line="360" w:lineRule="auto"/>
        <w:ind w:right="-62" w:firstLine="453" w:firstLineChars="192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）本办法自印发之日起执行，原文件与此有不一致处，以此为准，解释权归教务处。</w:t>
      </w:r>
    </w:p>
    <w:p>
      <w:pPr>
        <w:adjustRightInd w:val="0"/>
        <w:snapToGrid w:val="0"/>
        <w:spacing w:line="360" w:lineRule="auto"/>
        <w:ind w:right="-62" w:firstLine="453" w:firstLineChars="192"/>
        <w:rPr>
          <w:rFonts w:hint="eastAsia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adjustRightInd w:val="0"/>
        <w:snapToGrid w:val="0"/>
        <w:spacing w:line="360" w:lineRule="auto"/>
        <w:ind w:right="-62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年（第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届）优秀教师评选注意事项</w:t>
      </w:r>
    </w:p>
    <w:p>
      <w:pPr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一、评选范围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1、在我院工作两年及以上的在</w:t>
      </w:r>
      <w:r>
        <w:rPr>
          <w:rFonts w:hint="eastAsia" w:hAnsi="仿宋_GB2312" w:cs="仿宋_GB2312"/>
          <w:sz w:val="30"/>
          <w:szCs w:val="30"/>
          <w:lang w:eastAsia="zh-CN"/>
        </w:rPr>
        <w:t>编</w:t>
      </w:r>
      <w:r>
        <w:rPr>
          <w:rFonts w:hint="eastAsia" w:hAnsi="仿宋_GB2312" w:cs="仿宋_GB2312"/>
          <w:sz w:val="30"/>
          <w:szCs w:val="30"/>
        </w:rPr>
        <w:t>在岗一线教师。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2、已获第</w:t>
      </w:r>
      <w:r>
        <w:rPr>
          <w:rFonts w:hint="eastAsia" w:hAnsi="仿宋_GB2312" w:cs="仿宋_GB2312"/>
          <w:sz w:val="30"/>
          <w:szCs w:val="30"/>
          <w:lang w:eastAsia="zh-CN"/>
        </w:rPr>
        <w:t>七</w:t>
      </w:r>
      <w:r>
        <w:rPr>
          <w:rFonts w:hint="eastAsia" w:hAnsi="仿宋_GB2312" w:cs="仿宋_GB2312"/>
          <w:sz w:val="30"/>
          <w:szCs w:val="30"/>
        </w:rPr>
        <w:t>届优秀教师称号的教师，不得参加本次评选活动。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3、推荐教师每年外出进修或休假累计不得超半年，同时必须完成年度教学工作量。原则上本学期没有承担教学工作任务的教师，建议不予推荐本次评选。</w:t>
      </w:r>
    </w:p>
    <w:p>
      <w:pPr>
        <w:ind w:firstLine="632" w:firstLineChars="200"/>
        <w:rPr>
          <w:rFonts w:hint="eastAsia"/>
          <w:szCs w:val="32"/>
        </w:rPr>
      </w:pPr>
      <w:r>
        <w:rPr>
          <w:rFonts w:hint="eastAsia" w:hAnsi="仿宋_GB2312" w:cs="仿宋_GB2312"/>
          <w:sz w:val="30"/>
          <w:szCs w:val="30"/>
        </w:rPr>
        <w:t>4、</w:t>
      </w:r>
      <w:r>
        <w:rPr>
          <w:rFonts w:hint="eastAsia"/>
          <w:color w:val="auto"/>
          <w:sz w:val="30"/>
          <w:szCs w:val="30"/>
        </w:rPr>
        <w:t>推荐教师的近两年</w:t>
      </w:r>
      <w:r>
        <w:rPr>
          <w:rFonts w:hint="eastAsia"/>
          <w:color w:val="auto"/>
          <w:sz w:val="30"/>
          <w:szCs w:val="30"/>
          <w:lang w:eastAsia="zh-CN"/>
        </w:rPr>
        <w:t>所授课程学生评教总平均分须</w:t>
      </w:r>
      <w:r>
        <w:rPr>
          <w:rFonts w:hint="eastAsia"/>
          <w:color w:val="auto"/>
          <w:sz w:val="30"/>
          <w:szCs w:val="30"/>
        </w:rPr>
        <w:t>高于各教学单位平均分；</w:t>
      </w:r>
      <w:r>
        <w:rPr>
          <w:rFonts w:hint="eastAsia"/>
          <w:color w:val="auto"/>
          <w:sz w:val="30"/>
          <w:szCs w:val="30"/>
          <w:lang w:eastAsia="zh-CN"/>
        </w:rPr>
        <w:t>大学英语教师的评教总平均分须高于大学外语教学部总平均分，可予推荐。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5、推荐限额不超过各二级学院教师总数</w:t>
      </w:r>
      <w:r>
        <w:rPr>
          <w:rFonts w:hint="eastAsia" w:hAnsi="仿宋_GB2312" w:cs="仿宋_GB2312"/>
          <w:sz w:val="30"/>
          <w:szCs w:val="30"/>
          <w:lang w:eastAsia="zh-CN"/>
        </w:rPr>
        <w:t>（由专任教师、实验教师和新机制教师组成）</w:t>
      </w:r>
      <w:r>
        <w:rPr>
          <w:rFonts w:hint="eastAsia" w:hAnsi="仿宋_GB2312" w:cs="仿宋_GB2312"/>
          <w:sz w:val="30"/>
          <w:szCs w:val="30"/>
        </w:rPr>
        <w:t>的15%（不含外聘、返聘），各二级学院推荐名额数如下：</w:t>
      </w:r>
    </w:p>
    <w:tbl>
      <w:tblPr>
        <w:tblStyle w:val="8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41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教师总数/人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推荐名额</w:t>
            </w:r>
          </w:p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（教师总数的15%/人）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 w:colFirst="1" w:colLast="2"/>
            <w:bookmarkStart w:id="1" w:name="_Hlk382926753"/>
            <w:bookmarkStart w:id="2" w:name="OLE_LINK2" w:colFirst="1" w:colLast="2"/>
            <w:r>
              <w:rPr>
                <w:rFonts w:hint="eastAsia" w:ascii="宋体" w:hAnsi="宋体" w:eastAsia="宋体" w:cs="宋体"/>
                <w:sz w:val="21"/>
                <w:szCs w:val="21"/>
              </w:rPr>
              <w:t>电子信息学院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机电工程学院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材料与食品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经贸学院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艺术设计学院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思政部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  <w:bookmarkStart w:id="3" w:name="_GoBack"/>
            <w:bookmarkEnd w:id="3"/>
          </w:p>
        </w:tc>
      </w:tr>
    </w:tbl>
    <w:p>
      <w:pPr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二、评选条件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有良好的师德修养，关心爱护学生，坚持教书育人。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教学效果良好，教学评价优良。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积极参加教学研究与改革并取得一定成绩，具备以下条件之一：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主持或主要参与1项院级及以上教研教改项目；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主编或参编了出版通用教材；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以第一作者发表1篇及以上教研教改论文；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在院级及以上教学类评奖中获奖；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获得院级及以上与教学相关的荣誉。</w:t>
      </w:r>
    </w:p>
    <w:p>
      <w:p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积极参加科学研究并取得一定成绩，具备以下条件之一：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主持或主要参与了科研项目；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以第一作者发表了</w:t>
      </w:r>
      <w:r>
        <w:rPr>
          <w:rFonts w:hint="eastAsia"/>
          <w:sz w:val="28"/>
          <w:szCs w:val="28"/>
          <w:lang w:eastAsia="zh-CN"/>
        </w:rPr>
        <w:t>核心期刊或者国际会议交流</w:t>
      </w:r>
      <w:r>
        <w:rPr>
          <w:rFonts w:hint="eastAsia"/>
          <w:sz w:val="28"/>
          <w:szCs w:val="28"/>
        </w:rPr>
        <w:t>科研论文；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科研经费到账业绩突出；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取得发明专利或科研成果鉴定；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获得院级及以上各类科研奖励。</w:t>
      </w:r>
    </w:p>
    <w:p>
      <w:pPr>
        <w:numPr>
          <w:ilvl w:val="0"/>
          <w:numId w:val="4"/>
        </w:numPr>
        <w:ind w:firstLine="632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在教学、科研或社会工作中取得突出成绩，获得重大荣誉、对提升学院办学声誉产生重大影响者可特别考虑。</w:t>
      </w:r>
    </w:p>
    <w:p>
      <w:pPr>
        <w:numPr>
          <w:ilvl w:val="0"/>
          <w:numId w:val="4"/>
        </w:numPr>
        <w:ind w:firstLine="632" w:firstLineChars="200"/>
        <w:rPr>
          <w:rFonts w:hint="eastAsia" w:hAnsi="仿宋_GB2312" w:cs="仿宋_GB2312"/>
          <w:sz w:val="30"/>
          <w:szCs w:val="30"/>
        </w:rPr>
      </w:pPr>
      <w:r>
        <w:rPr>
          <w:rFonts w:hint="eastAsia"/>
          <w:sz w:val="28"/>
          <w:szCs w:val="28"/>
        </w:rPr>
        <w:t>工作业绩自申报之日止，前溯两年内有效。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黑体" w:hAnsi="黑体" w:eastAsia="黑体" w:cs="黑体"/>
          <w:sz w:val="24"/>
          <w:szCs w:val="24"/>
        </w:rPr>
        <w:t>参评教师需同时有</w:t>
      </w:r>
      <w:r>
        <w:rPr>
          <w:rFonts w:hint="eastAsia" w:ascii="黑体" w:hAnsi="黑体" w:eastAsia="黑体" w:cs="黑体"/>
          <w:sz w:val="24"/>
          <w:szCs w:val="24"/>
          <w:u w:val="single"/>
        </w:rPr>
        <w:t>教研</w:t>
      </w:r>
      <w:r>
        <w:rPr>
          <w:rFonts w:hint="eastAsia" w:ascii="黑体" w:hAnsi="黑体" w:eastAsia="黑体" w:cs="黑体"/>
          <w:sz w:val="24"/>
          <w:szCs w:val="24"/>
        </w:rPr>
        <w:t>和</w:t>
      </w:r>
      <w:r>
        <w:rPr>
          <w:rFonts w:hint="eastAsia" w:ascii="黑体" w:hAnsi="黑体" w:eastAsia="黑体" w:cs="黑体"/>
          <w:sz w:val="24"/>
          <w:szCs w:val="24"/>
          <w:u w:val="single"/>
        </w:rPr>
        <w:t>科研</w:t>
      </w:r>
      <w:r>
        <w:rPr>
          <w:rFonts w:hint="eastAsia" w:ascii="黑体" w:hAnsi="黑体" w:eastAsia="黑体" w:cs="黑体"/>
          <w:sz w:val="24"/>
          <w:szCs w:val="24"/>
        </w:rPr>
        <w:t>成果，缺其一不予推荐。但若符合第五条，可特别考虑。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三、分值比例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1、评教（40%），含3个学期（201</w:t>
      </w:r>
      <w:r>
        <w:rPr>
          <w:rFonts w:hint="eastAsia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hAnsi="仿宋_GB2312" w:cs="仿宋_GB2312"/>
          <w:sz w:val="30"/>
          <w:szCs w:val="30"/>
          <w:lang w:eastAsia="zh-CN"/>
        </w:rPr>
        <w:t>下、</w:t>
      </w:r>
      <w:r>
        <w:rPr>
          <w:rFonts w:hint="eastAsia" w:hAnsi="仿宋_GB2312" w:cs="仿宋_GB2312"/>
          <w:sz w:val="30"/>
          <w:szCs w:val="30"/>
          <w:lang w:val="en-US" w:eastAsia="zh-CN"/>
        </w:rPr>
        <w:t>2015上、2015下</w:t>
      </w:r>
      <w:r>
        <w:rPr>
          <w:rFonts w:hint="eastAsia" w:hAnsi="仿宋_GB2312" w:cs="仿宋_GB2312"/>
          <w:sz w:val="30"/>
          <w:szCs w:val="30"/>
        </w:rPr>
        <w:t>）学生评教</w:t>
      </w:r>
      <w:r>
        <w:rPr>
          <w:rFonts w:hint="eastAsia" w:hAnsi="仿宋_GB2312" w:cs="仿宋_GB2312"/>
          <w:sz w:val="30"/>
          <w:szCs w:val="30"/>
          <w:lang w:eastAsia="zh-CN"/>
        </w:rPr>
        <w:t>总平均分</w:t>
      </w:r>
      <w:r>
        <w:rPr>
          <w:rFonts w:hint="eastAsia" w:hAnsi="仿宋_GB2312" w:cs="仿宋_GB2312"/>
          <w:sz w:val="30"/>
          <w:szCs w:val="30"/>
        </w:rPr>
        <w:t>、</w:t>
      </w:r>
      <w:r>
        <w:rPr>
          <w:rFonts w:hint="eastAsia" w:hAnsi="仿宋_GB2312" w:cs="仿宋_GB2312"/>
          <w:sz w:val="30"/>
          <w:szCs w:val="30"/>
          <w:lang w:eastAsia="zh-CN"/>
        </w:rPr>
        <w:t>学校教学质量评价小组综合测评分</w:t>
      </w:r>
      <w:r>
        <w:rPr>
          <w:rFonts w:hint="eastAsia" w:hAnsi="仿宋_GB2312" w:cs="仿宋_GB2312"/>
          <w:sz w:val="30"/>
          <w:szCs w:val="30"/>
        </w:rPr>
        <w:t>。（201</w:t>
      </w:r>
      <w:r>
        <w:rPr>
          <w:rFonts w:hint="eastAsia" w:hAnsi="仿宋_GB2312" w:cs="仿宋_GB2312"/>
          <w:sz w:val="30"/>
          <w:szCs w:val="30"/>
          <w:lang w:val="en-US" w:eastAsia="zh-CN"/>
        </w:rPr>
        <w:t>6</w:t>
      </w:r>
      <w:r>
        <w:rPr>
          <w:rFonts w:hint="eastAsia" w:hAnsi="仿宋_GB2312" w:cs="仿宋_GB2312"/>
          <w:sz w:val="30"/>
          <w:szCs w:val="30"/>
        </w:rPr>
        <w:t>上-评教成绩作参考）。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2、教研教改（</w:t>
      </w:r>
      <w:r>
        <w:rPr>
          <w:rFonts w:hint="eastAsia" w:hAnsi="仿宋_GB2312" w:cs="仿宋_GB2312"/>
          <w:sz w:val="30"/>
          <w:szCs w:val="30"/>
          <w:lang w:val="en-US" w:eastAsia="zh-CN"/>
        </w:rPr>
        <w:t>25</w:t>
      </w:r>
      <w:r>
        <w:rPr>
          <w:rFonts w:hint="eastAsia" w:hAnsi="仿宋_GB2312" w:cs="仿宋_GB2312"/>
          <w:sz w:val="30"/>
          <w:szCs w:val="30"/>
        </w:rPr>
        <w:t>%）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3、科学研究（25%）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4、其他情况（</w:t>
      </w:r>
      <w:r>
        <w:rPr>
          <w:rFonts w:hint="eastAsia" w:hAnsi="仿宋_GB2312" w:cs="仿宋_GB2312"/>
          <w:sz w:val="30"/>
          <w:szCs w:val="30"/>
          <w:lang w:val="en-US" w:eastAsia="zh-CN"/>
        </w:rPr>
        <w:t>10</w:t>
      </w:r>
      <w:r>
        <w:rPr>
          <w:rFonts w:hint="eastAsia" w:hAnsi="仿宋_GB2312" w:cs="仿宋_GB2312"/>
          <w:sz w:val="30"/>
          <w:szCs w:val="30"/>
        </w:rPr>
        <w:t>%）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四、教师提交材料时要注意的问题</w:t>
      </w:r>
    </w:p>
    <w:p>
      <w:pPr>
        <w:ind w:firstLine="592" w:firstLineChars="200"/>
        <w:outlineLvl w:val="0"/>
        <w:rPr>
          <w:rFonts w:hint="eastAsia"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1、教研论文和科研论文应做明确区分。特别是外语类、人文社科类论文，请二级学院和教师本人严格把关。</w:t>
      </w:r>
    </w:p>
    <w:p>
      <w:pPr>
        <w:ind w:firstLine="592" w:firstLineChars="200"/>
        <w:outlineLvl w:val="0"/>
        <w:rPr>
          <w:rFonts w:hAnsi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</w:rPr>
        <w:t>2、材料要在此次评选有效期内，即201</w:t>
      </w:r>
      <w:r>
        <w:rPr>
          <w:rFonts w:hint="eastAsia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hAnsi="仿宋_GB2312" w:cs="仿宋_GB2312"/>
          <w:sz w:val="30"/>
          <w:szCs w:val="30"/>
        </w:rPr>
        <w:t>年6月至201</w:t>
      </w:r>
      <w:r>
        <w:rPr>
          <w:rFonts w:hint="eastAsia" w:hAnsi="仿宋_GB2312" w:cs="仿宋_GB2312"/>
          <w:sz w:val="30"/>
          <w:szCs w:val="30"/>
          <w:lang w:val="en-US" w:eastAsia="zh-CN"/>
        </w:rPr>
        <w:t>6</w:t>
      </w:r>
      <w:r>
        <w:rPr>
          <w:rFonts w:hint="eastAsia" w:hAnsi="仿宋_GB2312" w:cs="仿宋_GB2312"/>
          <w:sz w:val="30"/>
          <w:szCs w:val="30"/>
        </w:rPr>
        <w:t>年5月。</w:t>
      </w:r>
    </w:p>
    <w:p>
      <w:pPr>
        <w:jc w:val="left"/>
        <w:rPr>
          <w:rFonts w:hint="eastAsia" w:ascii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  <w:r>
        <w:rPr>
          <w:rFonts w:hint="eastAsia"/>
          <w:b/>
          <w:bCs/>
          <w:szCs w:val="32"/>
          <w:lang w:val="en-US" w:eastAsia="zh-CN"/>
        </w:rPr>
        <w:t xml:space="preserve">       </w:t>
      </w:r>
      <w:r>
        <w:rPr>
          <w:rFonts w:hint="eastAsia"/>
          <w:b/>
          <w:bCs/>
          <w:szCs w:val="32"/>
        </w:rPr>
        <w:t xml:space="preserve">    </w:t>
      </w:r>
      <w:r>
        <w:rPr>
          <w:rStyle w:val="10"/>
          <w:rFonts w:hint="eastAsia"/>
          <w:lang w:val="en-US" w:eastAsia="zh-CN"/>
        </w:rPr>
        <w:t>2016年度</w:t>
      </w:r>
      <w:r>
        <w:rPr>
          <w:rStyle w:val="10"/>
          <w:rFonts w:hint="eastAsia"/>
        </w:rPr>
        <w:t>优秀教师评分细则</w:t>
      </w:r>
    </w:p>
    <w:tbl>
      <w:tblPr>
        <w:tblStyle w:val="8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864"/>
        <w:gridCol w:w="630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7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5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1、评教（40分）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spacing w:line="200" w:lineRule="exac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学生网上评教+学校教学质量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小组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2、教研教改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宋体" w:eastAsia="黑体" w:cs="宋体"/>
                <w:b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b/>
                <w:kern w:val="0"/>
                <w:sz w:val="21"/>
                <w:szCs w:val="21"/>
              </w:rPr>
              <w:t>分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，以最高得分折合为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分为比率计算。）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2-1质量工程项目</w:t>
            </w:r>
          </w:p>
        </w:tc>
        <w:tc>
          <w:tcPr>
            <w:tcW w:w="6302" w:type="dxa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院级项目，项目组前五名成员分别加7、4、3、2、1分。</w:t>
            </w:r>
          </w:p>
          <w:p>
            <w:pPr>
              <w:widowControl/>
              <w:jc w:val="left"/>
              <w:rPr>
                <w:rFonts w:hint="eastAsia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大创项目，指导老师分别加1分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省级、国家级调整系数为2、3。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以正式立项、获奖时间为准。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2-2教学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成果</w:t>
            </w:r>
          </w:p>
        </w:tc>
        <w:tc>
          <w:tcPr>
            <w:tcW w:w="6302" w:type="dxa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院级一等奖，项目组前五名成员分别加5、3、2、1、0.5分。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二等奖、三等奖调整系数为0.7，0.5。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院级评选的优秀质量工程建设项目，以一等奖计。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2-3教学类单项奖</w:t>
            </w:r>
          </w:p>
        </w:tc>
        <w:tc>
          <w:tcPr>
            <w:tcW w:w="6302" w:type="dxa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院(市)级教学单项奖1、2、3等奖加分顺序为3、2、1分。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无等级的以三等奖计。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(2015年教学优秀奖不计分)</w:t>
            </w:r>
          </w:p>
        </w:tc>
        <w:tc>
          <w:tcPr>
            <w:tcW w:w="12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3-4教材</w:t>
            </w:r>
          </w:p>
          <w:p>
            <w:pPr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编（著）：10/主编（著）人数分；副主编：5/人数分；参编：2分。（系数：国家级出版社1.5，省级出版社、大学出版社1分；理工类1，人文社科类0.75；论文集0.3；第一版1，第二版0.5，其余版次0.3。教研专著同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2-5论文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A、高等教育专业核心期刊7分/篇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B、其他核心期刊5分/篇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C、其他期刊2分/篇。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（只计第一作者，以正式出刊为准。）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2-6学科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竞赛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国家级一二三等奖分别加7、6、5分；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体育类1-8名分别加7，6，5，4，3，2，1，0.5，团体以5倍计。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（调整系数：学院重点资助1，非重点资助0.8；省级、院(市)级分别为0.6、0.3；多人指导的均分。同奖项同等次多组获奖者只计算一次。同类别比赛既获单项奖又获团队奖，以最高奖计。）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3、科学研究    (</w:t>
            </w:r>
            <w:r>
              <w:rPr>
                <w:rFonts w:hint="eastAsia" w:ascii="黑体" w:hAnsi="宋体" w:eastAsia="黑体" w:cs="宋体"/>
                <w:b/>
                <w:kern w:val="0"/>
                <w:sz w:val="21"/>
                <w:szCs w:val="21"/>
              </w:rPr>
              <w:t>25分,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 xml:space="preserve"> 以最高得分折合为25分为比率计算。）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3-1科研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科研项目分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=项目级别分+到账经费分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</w:rPr>
              <w:t>（不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含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</w:rPr>
              <w:t>校内配套经费）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，校级项目不计到账经费分。国家级项目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30分/项，省部级项目15分/项，市（厅）级项目6分/项、校级项目3分/项。纵向科研经费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</w:rPr>
              <w:t>1分/万元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，横向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1分/4万元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hAnsi="宋体" w:cs="宋体"/>
                <w:b/>
                <w:bCs/>
                <w:kern w:val="0"/>
                <w:sz w:val="24"/>
                <w:szCs w:val="24"/>
                <w:highlight w:val="none"/>
              </w:rPr>
              <w:t>（1-5名项目组成员分别0.5、0.3、0.1、0.05、0.05的比例计算得分）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3-2成果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奖励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科技进步奖：市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（厅）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级一等奖，项目组前五名成员分别加7、4、3、2、1分；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自然科学、社科成果奖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：市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（厅）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级一等奖，项目组前五名成员分别加5、3.5、2.5、1.5、0.5分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（二等奖、三等奖调整系数为0.7，0.5；国家级、省级项目调整系数为3、2。）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3-3专利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A、发明专利4分/项，B、软件著作权、实用新型专利2分/项，C、外观设计专利1分/项。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（专利多人参与的均分）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3-4科研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论文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  <w:t>国际检索收录论文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（其他作品）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  <w:t xml:space="preserve">：SCI、SSCI 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  <w:t>EI（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检索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  <w:t>期刊）7分/篇；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eastAsia="zh-CN"/>
              </w:rPr>
              <w:t>北图或南图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中文核心期刊论文</w:t>
            </w: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（其他作品）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5分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/篇，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ISTP、EI、ISSHP检索会议论文及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其他论文</w:t>
            </w:r>
            <w:r>
              <w:rPr>
                <w:rFonts w:hint="eastAsia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（其他作品）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2分/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篇。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（只计第一作者，以正式出刊为准。）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3-5科研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专著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</w:rPr>
              <w:t>主编（著）：10/主编（著）人数分；副主编：5/人数分；参编：2分/人数分。（系数：国家级出版社1.5，省级出版社、大学出版社1分；理工类1，人文社科类0.75；论文集0.3；第一版1，第二版0.5，其余版次0.3。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该项总分不超过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4、其他情况 (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 xml:space="preserve">分)   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4-1荣誉</w:t>
            </w:r>
          </w:p>
        </w:tc>
        <w:tc>
          <w:tcPr>
            <w:tcW w:w="75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国家级一二三等奖分别加5、4、3.5分，省级一二三等奖分别加3、2.5、2分，</w:t>
            </w:r>
          </w:p>
          <w:p>
            <w:pPr>
              <w:widowControl/>
              <w:jc w:val="left"/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院（市）级一二三等奖分别加1.5、1、0.5分。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highlight w:val="none"/>
              </w:rPr>
              <w:t>行业协会、各类会议等颁发的奖统一认定为院（市）级。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none"/>
              </w:rPr>
              <w:t>无等级的以三等奖计。</w:t>
            </w: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多人共同获奖，只计前三名。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1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备注：非以我院名义主持的项目，不计；同一项成果，不重复计算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  <w:b/>
          <w:bCs/>
          <w:kern w:val="44"/>
          <w:szCs w:val="32"/>
        </w:rPr>
      </w:pPr>
      <w:r>
        <w:rPr>
          <w:rFonts w:hint="eastAsia"/>
          <w:b/>
          <w:bCs/>
          <w:kern w:val="44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pStyle w:val="2"/>
        <w:spacing w:before="240" w:after="240" w:line="240" w:lineRule="auto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电子科技大学中山学院201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/>
          <w:sz w:val="32"/>
          <w:szCs w:val="32"/>
        </w:rPr>
        <w:t>年优秀教师推荐人选汇总表</w:t>
      </w:r>
    </w:p>
    <w:tbl>
      <w:tblPr>
        <w:tblStyle w:val="8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22"/>
        <w:gridCol w:w="705"/>
        <w:gridCol w:w="704"/>
        <w:gridCol w:w="704"/>
        <w:gridCol w:w="4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 w:hAnsi="Arial Unicode MS" w:cs="Arial Unicode MS"/>
                <w:szCs w:val="32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职称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本学期所授课程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 w:hAnsi="Arial Unicode MS" w:cs="Arial Unicode MS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  <w:r>
              <w:rPr>
                <w:rFonts w:hint="eastAsia"/>
                <w:szCs w:val="32"/>
              </w:rPr>
              <w:t> 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hAnsi="Arial Unicode MS" w:cs="Arial Unicode MS"/>
                <w:szCs w:val="32"/>
              </w:rPr>
            </w:pPr>
          </w:p>
        </w:tc>
      </w:tr>
    </w:tbl>
    <w:p>
      <w:pPr>
        <w:spacing w:line="300" w:lineRule="atLeast"/>
        <w:rPr>
          <w:rFonts w:hint="eastAsia"/>
          <w:szCs w:val="32"/>
        </w:rPr>
      </w:pPr>
      <w:r>
        <w:rPr>
          <w:rFonts w:hint="eastAsia"/>
          <w:szCs w:val="32"/>
        </w:rPr>
        <w:t> 注：推荐名单请按优先顺序排列。</w:t>
      </w:r>
    </w:p>
    <w:p>
      <w:pPr>
        <w:spacing w:line="300" w:lineRule="atLeast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</w:t>
      </w:r>
    </w:p>
    <w:p>
      <w:pPr>
        <w:spacing w:line="300" w:lineRule="atLeast"/>
        <w:ind w:firstLine="3633" w:firstLineChars="1150"/>
        <w:jc w:val="lef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单位名称（盖章）</w:t>
      </w:r>
      <w:r>
        <w:rPr>
          <w:rFonts w:hint="eastAsia"/>
          <w:color w:val="000000"/>
          <w:szCs w:val="32"/>
          <w:u w:val="single"/>
        </w:rPr>
        <w:t xml:space="preserve">                   </w:t>
      </w:r>
      <w:r>
        <w:rPr>
          <w:rFonts w:hint="eastAsia"/>
          <w:color w:val="000000"/>
          <w:szCs w:val="32"/>
        </w:rPr>
        <w:t xml:space="preserve">     </w:t>
      </w:r>
    </w:p>
    <w:p>
      <w:pPr>
        <w:adjustRightInd w:val="0"/>
        <w:snapToGrid w:val="0"/>
        <w:spacing w:line="440" w:lineRule="exact"/>
        <w:ind w:firstLine="6634" w:firstLineChars="210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年   月   日</w:t>
      </w:r>
    </w:p>
    <w:p>
      <w:pPr>
        <w:rPr>
          <w:rFonts w:hint="eastAsia" w:ascii="仿宋_GB2312"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  <w:r>
        <w:rPr>
          <w:rFonts w:hint="eastAsia"/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仿宋_GB2312"/>
          <w:sz w:val="32"/>
          <w:szCs w:val="32"/>
        </w:rPr>
        <w:t>某某</w:t>
      </w:r>
      <w:r>
        <w:rPr>
          <w:rFonts w:hint="eastAsia"/>
          <w:sz w:val="32"/>
          <w:szCs w:val="32"/>
          <w:lang w:eastAsia="zh-CN"/>
        </w:rPr>
        <w:t>教师</w:t>
      </w:r>
      <w:r>
        <w:rPr>
          <w:rFonts w:hint="eastAsia" w:ascii="仿宋_GB2312"/>
          <w:sz w:val="32"/>
          <w:szCs w:val="32"/>
        </w:rPr>
        <w:t>参评材料明细及计分表（填表参考）</w:t>
      </w:r>
    </w:p>
    <w:tbl>
      <w:tblPr>
        <w:tblStyle w:val="8"/>
        <w:tblW w:w="8893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83"/>
        <w:gridCol w:w="3420"/>
        <w:gridCol w:w="1380"/>
        <w:gridCol w:w="11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592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原始分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920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53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1、评教</w:t>
            </w:r>
          </w:p>
          <w:p>
            <w:pPr>
              <w:widowControl/>
              <w:spacing w:line="200" w:lineRule="exact"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5920" w:type="dxa"/>
            <w:gridSpan w:val="3"/>
            <w:vAlign w:val="center"/>
          </w:tcPr>
          <w:tbl>
            <w:tblPr>
              <w:tblStyle w:val="8"/>
              <w:tblW w:w="575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87"/>
              <w:gridCol w:w="1106"/>
              <w:gridCol w:w="126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338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  <w:t>总平均分（包括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下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上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下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106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88" w:firstLineChars="50"/>
                    <w:jc w:val="left"/>
                    <w:rPr>
                      <w:rFonts w:ascii="宋体" w:hAnsi="宋体" w:eastAsia="宋体" w:cs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6上</w:t>
                  </w: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18"/>
                      <w:szCs w:val="18"/>
                      <w:lang w:eastAsia="zh-CN"/>
                    </w:rPr>
                    <w:t>学校教学质量评价小组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3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  <w:lang w:eastAsia="zh-CN"/>
                    </w:rPr>
                    <w:t>参考值（教务处提供）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3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264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200" w:lineRule="exact"/>
              <w:jc w:val="center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hAnsi="宋体" w:eastAsia="仿宋_GB2312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97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2、教研教改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分，以最高得分折合为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分为比率计算。）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2-1质量工程建设项目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>(1)2012年广东省教育科研十二五规划2012年度研究项目，课堂游戏在大学电子信息类课程的设计方法及课程案例群的建立（</w:t>
            </w:r>
            <w:r>
              <w:rPr>
                <w:rFonts w:ascii="宋体" w:hAnsi="宋体" w:cs="Arial"/>
                <w:color w:val="FF0000"/>
                <w:sz w:val="21"/>
                <w:szCs w:val="21"/>
              </w:rPr>
              <w:t>2012JK004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>）</w:t>
            </w:r>
            <w:r>
              <w:rPr>
                <w:rFonts w:hint="eastAsia"/>
                <w:color w:val="FF0000"/>
                <w:sz w:val="21"/>
                <w:szCs w:val="21"/>
              </w:rPr>
              <w:t>（负责人邓春健，第1）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必须注明立项日期、级别（院、省、国家）、项目负责人和项目组成员排名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2-2教学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成果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（1）2012年优秀教学质量工程项目（计算机专业电路课程教学团队项目 ） （第1）</w:t>
            </w:r>
          </w:p>
          <w:p>
            <w:pPr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必须注明获奖日期、级别（院、省、国家）、项目负责人和项目组成员排名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2-3教学类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单项奖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必须注明获奖日期、等级（无等级以三等奖计）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2-4教材</w:t>
            </w:r>
          </w:p>
          <w:p>
            <w:pPr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1"/>
                <w:szCs w:val="21"/>
              </w:rPr>
              <w:t>（1）工程力学（主编，省级出版，理工类，201306第四版）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必须注明编写成员等级（主编、副主编、参编）、出版社级别、文理类、年份和版次。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2-5论文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21"/>
                <w:szCs w:val="21"/>
              </w:rPr>
              <w:t>（1）公示语汉英翻译研究新视角--文本类型学及其应用（课程教育研究期刊-C，201212，，第1）</w:t>
            </w:r>
          </w:p>
          <w:p>
            <w:pPr>
              <w:widowControl/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必须注明发表期刊名称、对应期刊类别、发表日期、撰写作者排名。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2-6学科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竞赛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ind w:firstLine="103" w:firstLineChars="50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(1)2013年7月第九届博创杯全国大学生嵌入式设计大赛华南赛区一等奖 1项，（1人）</w:t>
            </w:r>
          </w:p>
          <w:p>
            <w:pPr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必须注明获奖时间、级别（国家、省、院或市）、资助情况（重点、非重点、）、指导老师人数。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7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3、科学研究    (25分, 以最高得分折合为25分为比率计算。）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3-1科研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>（1）2012年9月 广东省教育部产学研项目立项，大规模全面个性化定制的集成家具数字化设计制造系统（2012B091100124） （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  <w:lang w:eastAsia="zh-CN"/>
              </w:rPr>
              <w:t>纵向、</w:t>
            </w:r>
            <w:r>
              <w:rPr>
                <w:rFonts w:hint="eastAsia" w:ascii="宋体" w:hAnsi="宋体" w:cs="Arial"/>
                <w:color w:val="FF0000"/>
                <w:sz w:val="21"/>
                <w:szCs w:val="21"/>
              </w:rPr>
              <w:t>在研，5万，第1）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必须注明项目立项日期、填表时项目研究情况（在研或结题）、到账经费和项目组成员排名。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1.875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3-2成果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奖励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(1)2012年12月广东省自然科学一等奖（第2）</w:t>
            </w:r>
          </w:p>
          <w:p>
            <w:pPr>
              <w:widowControl/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(2)2013年6月中山市科技进步奖二等奖 （第2）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必须注明获奖日期、市（省或国家）级别、奖项类别（科技进步、自然科学或社科成果）、获奖等级（一、二或三等奖）、获奖项目成员排名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3-3专利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(1)2012年9月 广东省科学技术厅，科技成果登记，TS2012集成家居数字化设计制造系统，登记号：粤科成登字20120346 （B类，2）</w:t>
            </w:r>
          </w:p>
          <w:p>
            <w:pPr>
              <w:widowControl/>
              <w:jc w:val="lef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必须注明获得成果时间、获得专利类别（A、B、C类），申请专利成员个数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3-4科研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论文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(1）2012.12 RET天线扫描码构造方法及防碰撞算法。应用科学学报。（EI检索、中文核心，第1）</w:t>
            </w:r>
          </w:p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必须注明发表时间、刊物名称、检索类型、撰写作者排名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3-5科研</w:t>
            </w:r>
          </w:p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专著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widowControl/>
              <w:spacing w:line="200" w:lineRule="exac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（1）2013年6月 被遗忘与曲解的古典中国-《吕氏春秋》对传统学术的投诉，广西师范大学出版社，</w:t>
            </w: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  <w:lang w:eastAsia="zh-CN"/>
              </w:rPr>
              <w:t>主编</w:t>
            </w:r>
          </w:p>
          <w:p>
            <w:pPr>
              <w:widowControl/>
              <w:spacing w:line="200" w:lineRule="exact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必须注明发表时间、出版社、字数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hAnsi="宋体" w:eastAsia="仿宋_GB2312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4、其他情况 (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 xml:space="preserve">分)   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4-1荣誉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(1) 2012年广东省南粤优秀教师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必须注明获奖时间、级别（国家、省、市（院））、等级（一、二、三等奖）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FF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原始分</w:t>
            </w: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FF0000"/>
                <w:kern w:val="0"/>
                <w:sz w:val="28"/>
                <w:szCs w:val="28"/>
              </w:rPr>
              <w:t>134.575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折后分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color w:val="FF0000"/>
                <w:kern w:val="0"/>
                <w:sz w:val="24"/>
                <w:szCs w:val="24"/>
                <w:highlight w:val="lightGray"/>
              </w:rPr>
            </w:pPr>
            <w:r>
              <w:rPr>
                <w:rFonts w:hint="eastAsia" w:hAnsi="宋体" w:cs="宋体"/>
                <w:b/>
                <w:color w:val="FF0000"/>
                <w:kern w:val="0"/>
                <w:sz w:val="24"/>
                <w:szCs w:val="24"/>
              </w:rPr>
              <w:t>61.375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br w:type="page"/>
      </w:r>
      <w:r>
        <w:rPr>
          <w:rFonts w:hint="eastAsia" w:ascii="仿宋_GB2312" w:hAnsi="仿宋_GB2312" w:eastAsia="仿宋_GB2312" w:cs="仿宋_GB2312"/>
          <w:sz w:val="24"/>
          <w:szCs w:val="24"/>
        </w:rPr>
        <w:t>补充说明：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b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</w:rPr>
        <w:t xml:space="preserve"> 请各位老师在整理材料时按以上表格项目顺序排序装订，同时在相对应的佐证材料首页注明相应的序号，如：教研教改类中的教材建设有两小项，在佐证材料封面注明2-4-1，2-4-2.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1、质量工程类项目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（1）校级、省级立项的质量工程建设项目，只需写明项目名称、项目负责人、项目组成员排名、立项时间即可。无需提供立项申报书、协议书、结题验收表之类的原始材料。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（2）项目组成员和成员顺序要和项目协议书或省级项目申报书一致；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2、教研论文：尽量提供期刊网下载打印的PDF文件，其次选择提供经本学院审核“与原件相符”的论文复印件。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3、科研项目：需写明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横向或纵向、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项目名称、项目负责人、项目组成员排名、立项时间、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填表时项目研究情况（在研或结题）、到账经费及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项目组成员排名即可。同时提供立项证明等原始材料或本学院签有“与原始文件相符”字样的复印件，原始材料必须包括项目名称、立项时间、项目组成员、资助经费等信息。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4、科研论文：EI检索的，要有EI的检索证明。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5、教材、教研专著：提供原件，评审结束返还。如有多，请赠送教务处一本。</w:t>
      </w: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6、教学成果、教学单项奖、学科竞赛获奖、科研成果奖励、荣誉等项目：必须注明何年何月何时获何奖，奖励等级是多少，同时提供相应的证书复印件，没证书必须注明学院发文号，其他非校级教学类荣誉，需提供证明文件。 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3921004">
    <w:nsid w:val="5577E5EC"/>
    <w:multiLevelType w:val="singleLevel"/>
    <w:tmpl w:val="5577E5EC"/>
    <w:lvl w:ilvl="0" w:tentative="1">
      <w:start w:val="1"/>
      <w:numFmt w:val="chineseCounting"/>
      <w:suff w:val="nothing"/>
      <w:lvlText w:val="%1、"/>
      <w:lvlJc w:val="left"/>
    </w:lvl>
  </w:abstractNum>
  <w:abstractNum w:abstractNumId="1461722507">
    <w:nsid w:val="57201D8B"/>
    <w:multiLevelType w:val="singleLevel"/>
    <w:tmpl w:val="57201D8B"/>
    <w:lvl w:ilvl="0" w:tentative="1">
      <w:start w:val="2"/>
      <w:numFmt w:val="decimal"/>
      <w:suff w:val="nothing"/>
      <w:lvlText w:val="%1、"/>
      <w:lvlJc w:val="left"/>
    </w:lvl>
  </w:abstractNum>
  <w:abstractNum w:abstractNumId="1461722431">
    <w:nsid w:val="57201D3F"/>
    <w:multiLevelType w:val="singleLevel"/>
    <w:tmpl w:val="57201D3F"/>
    <w:lvl w:ilvl="0" w:tentative="1">
      <w:start w:val="1"/>
      <w:numFmt w:val="chineseCounting"/>
      <w:suff w:val="nothing"/>
      <w:lvlText w:val="%1、"/>
      <w:lvlJc w:val="left"/>
    </w:lvl>
  </w:abstractNum>
  <w:abstractNum w:abstractNumId="1460366335">
    <w:nsid w:val="570B6BFF"/>
    <w:multiLevelType w:val="singleLevel"/>
    <w:tmpl w:val="570B6BFF"/>
    <w:lvl w:ilvl="0" w:tentative="1">
      <w:start w:val="5"/>
      <w:numFmt w:val="decimal"/>
      <w:suff w:val="nothing"/>
      <w:lvlText w:val="%1、"/>
      <w:lvlJc w:val="left"/>
    </w:lvl>
  </w:abstractNum>
  <w:num w:numId="1">
    <w:abstractNumId w:val="1461722431"/>
  </w:num>
  <w:num w:numId="2">
    <w:abstractNumId w:val="1461722507"/>
  </w:num>
  <w:num w:numId="3">
    <w:abstractNumId w:val="1433921004"/>
  </w:num>
  <w:num w:numId="4">
    <w:abstractNumId w:val="14603663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DB"/>
    <w:rsid w:val="000132B9"/>
    <w:rsid w:val="000F756B"/>
    <w:rsid w:val="001364DB"/>
    <w:rsid w:val="00215642"/>
    <w:rsid w:val="002E75F4"/>
    <w:rsid w:val="003C6422"/>
    <w:rsid w:val="004D1B01"/>
    <w:rsid w:val="00525673"/>
    <w:rsid w:val="00682EA3"/>
    <w:rsid w:val="00755DE5"/>
    <w:rsid w:val="00780A8D"/>
    <w:rsid w:val="0083160A"/>
    <w:rsid w:val="00897011"/>
    <w:rsid w:val="00D85D40"/>
    <w:rsid w:val="00FE2E0F"/>
    <w:rsid w:val="088B77AC"/>
    <w:rsid w:val="0E7C52F2"/>
    <w:rsid w:val="11FA542A"/>
    <w:rsid w:val="15D815C3"/>
    <w:rsid w:val="17573BFB"/>
    <w:rsid w:val="388B1D62"/>
    <w:rsid w:val="395D2FB1"/>
    <w:rsid w:val="465A7076"/>
    <w:rsid w:val="52730954"/>
    <w:rsid w:val="5694164B"/>
    <w:rsid w:val="5D5B50C6"/>
    <w:rsid w:val="76EC7A27"/>
    <w:rsid w:val="7B2559D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Heading 2 Char"/>
    <w:basedOn w:val="6"/>
    <w:link w:val="3"/>
    <w:qFormat/>
    <w:locked/>
    <w:uiPriority w:val="99"/>
    <w:rPr>
      <w:rFonts w:ascii="Arial" w:hAnsi="Arial" w:eastAsia="黑体"/>
      <w:b/>
      <w:sz w:val="32"/>
    </w:rPr>
  </w:style>
  <w:style w:type="character" w:customStyle="1" w:styleId="12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unnamed52"/>
    <w:basedOn w:val="6"/>
    <w:qFormat/>
    <w:uiPriority w:val="99"/>
    <w:rPr>
      <w:rFonts w:ascii="黑体" w:eastAsia="黑体" w:cs="黑体"/>
      <w:b/>
      <w:color w:val="009999"/>
      <w:sz w:val="30"/>
      <w:szCs w:val="30"/>
    </w:rPr>
  </w:style>
  <w:style w:type="character" w:customStyle="1" w:styleId="15">
    <w:name w:val="font01"/>
    <w:basedOn w:val="6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6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6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13</Pages>
  <Words>563</Words>
  <Characters>3211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2015-09-22T07:12:00Z</dcterms:created>
  <dc:creator>lenovo</dc:creator>
  <cp:lastModifiedBy>Administrator</cp:lastModifiedBy>
  <cp:lastPrinted>2015-04-22T01:30:00Z</cp:lastPrinted>
  <dcterms:modified xsi:type="dcterms:W3CDTF">2016-05-06T10:46:54Z</dcterms:modified>
  <dc:title>电子科技大学中山学院教务处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